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EA" w:rsidRPr="000D3EEA" w:rsidRDefault="00D575BD" w:rsidP="00124500">
      <w:pPr>
        <w:adjustRightInd w:val="0"/>
        <w:snapToGrid w:val="0"/>
        <w:spacing w:line="600" w:lineRule="exact"/>
        <w:jc w:val="center"/>
        <w:rPr>
          <w:rFonts w:ascii="黑体" w:eastAsia="黑体" w:hAnsi="方正小标宋简体" w:cs="方正小标宋简体"/>
          <w:sz w:val="44"/>
          <w:szCs w:val="44"/>
        </w:rPr>
      </w:pPr>
      <w:r w:rsidRPr="000D3EEA">
        <w:rPr>
          <w:rFonts w:ascii="黑体" w:eastAsia="黑体" w:hAnsi="方正小标宋简体" w:cs="方正小标宋简体" w:hint="eastAsia"/>
          <w:sz w:val="44"/>
          <w:szCs w:val="44"/>
        </w:rPr>
        <w:t>山东省乙型病毒性肝炎疫苗</w:t>
      </w:r>
    </w:p>
    <w:p w:rsidR="00D575BD" w:rsidRPr="000D3EEA" w:rsidRDefault="00D575BD" w:rsidP="00124500">
      <w:pPr>
        <w:adjustRightInd w:val="0"/>
        <w:snapToGrid w:val="0"/>
        <w:spacing w:line="600" w:lineRule="exact"/>
        <w:jc w:val="center"/>
        <w:rPr>
          <w:rFonts w:ascii="黑体" w:eastAsia="黑体" w:hAnsi="方正小标宋简体"/>
          <w:sz w:val="44"/>
          <w:szCs w:val="44"/>
        </w:rPr>
      </w:pPr>
      <w:r w:rsidRPr="000D3EEA">
        <w:rPr>
          <w:rFonts w:ascii="黑体" w:eastAsia="黑体" w:hAnsi="方正小标宋简体" w:cs="方正小标宋简体" w:hint="eastAsia"/>
          <w:sz w:val="44"/>
          <w:szCs w:val="44"/>
        </w:rPr>
        <w:t>预防接种知情同意书</w:t>
      </w:r>
    </w:p>
    <w:p w:rsidR="00D575BD" w:rsidRPr="006F5C98" w:rsidRDefault="00D575BD" w:rsidP="0036659D">
      <w:pPr>
        <w:adjustRightInd w:val="0"/>
        <w:snapToGrid w:val="0"/>
        <w:jc w:val="center"/>
        <w:rPr>
          <w:rFonts w:ascii="方正小标宋简体" w:eastAsia="方正小标宋简体" w:hAnsi="方正小标宋简体"/>
          <w:sz w:val="24"/>
          <w:szCs w:val="24"/>
        </w:rPr>
      </w:pPr>
    </w:p>
    <w:p w:rsidR="00D575BD" w:rsidRDefault="00D575BD" w:rsidP="00951D2D">
      <w:pPr>
        <w:spacing w:line="38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乙型病毒性肝炎（以下简称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乙肝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）是由乙肝病毒引起的传染病，主要经血传播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如不安全注射等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、母婴传播和性传播。感染乙肝病毒后可成为乙肝病毒携带者，感染年龄越小，成为慢性携带者可能性越大，部分人可转化为慢性乙肝患者，甚至发展为肝硬化或肝癌。</w:t>
      </w:r>
    </w:p>
    <w:p w:rsidR="00D575BD" w:rsidRDefault="00D575BD" w:rsidP="00951D2D">
      <w:pPr>
        <w:spacing w:line="38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全程接种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剂可有效预防乙肝。相同剂量的各类含乙肝成分疫苗预防乙肝效果相近。</w:t>
      </w:r>
    </w:p>
    <w:tbl>
      <w:tblPr>
        <w:tblW w:w="9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3971"/>
        <w:gridCol w:w="3881"/>
      </w:tblGrid>
      <w:tr w:rsidR="00D575BD">
        <w:trPr>
          <w:trHeight w:hRule="exact" w:val="340"/>
          <w:jc w:val="center"/>
        </w:trPr>
        <w:tc>
          <w:tcPr>
            <w:tcW w:w="1239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疫苗名称</w:t>
            </w:r>
          </w:p>
        </w:tc>
        <w:tc>
          <w:tcPr>
            <w:tcW w:w="3971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乙肝疫苗</w:t>
            </w:r>
          </w:p>
        </w:tc>
        <w:tc>
          <w:tcPr>
            <w:tcW w:w="3881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甲乙肝联合疫苗</w:t>
            </w:r>
          </w:p>
        </w:tc>
      </w:tr>
      <w:tr w:rsidR="00D575BD">
        <w:trPr>
          <w:trHeight w:hRule="exact" w:val="1566"/>
          <w:jc w:val="center"/>
        </w:trPr>
        <w:tc>
          <w:tcPr>
            <w:tcW w:w="1239" w:type="dxa"/>
            <w:vAlign w:val="center"/>
          </w:tcPr>
          <w:p w:rsidR="00D575BD" w:rsidRDefault="00D575BD" w:rsidP="00D928B5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接种费用</w:t>
            </w:r>
          </w:p>
        </w:tc>
        <w:tc>
          <w:tcPr>
            <w:tcW w:w="3971" w:type="dxa"/>
            <w:vAlign w:val="center"/>
          </w:tcPr>
          <w:p w:rsidR="00D575BD" w:rsidRDefault="00D575BD">
            <w:pPr>
              <w:adjustRightInd w:val="0"/>
              <w:snapToGrid w:val="0"/>
              <w:spacing w:line="360" w:lineRule="exact"/>
            </w:pPr>
            <w:r>
              <w:rPr>
                <w:rFonts w:cs="宋体" w:hint="eastAsia"/>
              </w:rPr>
              <w:t>省统一供应印有</w:t>
            </w:r>
            <w:r>
              <w:t>“</w:t>
            </w:r>
            <w:r>
              <w:rPr>
                <w:rFonts w:cs="宋体" w:hint="eastAsia"/>
              </w:rPr>
              <w:t>免费</w:t>
            </w:r>
            <w:r>
              <w:t>”</w:t>
            </w:r>
            <w:r>
              <w:rPr>
                <w:rFonts w:cs="宋体" w:hint="eastAsia"/>
              </w:rPr>
              <w:t>字样的乙肝疫苗：</w:t>
            </w:r>
            <w:r w:rsidRPr="001E2895">
              <w:rPr>
                <w:b/>
                <w:bCs/>
              </w:rPr>
              <w:t>6</w:t>
            </w:r>
            <w:r w:rsidRPr="001E2895">
              <w:rPr>
                <w:rFonts w:cs="宋体" w:hint="eastAsia"/>
                <w:b/>
                <w:bCs/>
              </w:rPr>
              <w:t>岁内儿童免费接种</w:t>
            </w:r>
            <w:r w:rsidRPr="001E2895">
              <w:rPr>
                <w:b/>
                <w:bCs/>
              </w:rPr>
              <w:t>3</w:t>
            </w:r>
            <w:r w:rsidRPr="001E2895">
              <w:rPr>
                <w:rFonts w:cs="宋体" w:hint="eastAsia"/>
                <w:b/>
                <w:bCs/>
              </w:rPr>
              <w:t>剂。</w:t>
            </w:r>
          </w:p>
          <w:p w:rsidR="00D575BD" w:rsidRDefault="00D575BD" w:rsidP="001E2895">
            <w:pPr>
              <w:adjustRightInd w:val="0"/>
              <w:snapToGrid w:val="0"/>
              <w:spacing w:line="360" w:lineRule="exact"/>
              <w:rPr>
                <w:kern w:val="0"/>
              </w:rPr>
            </w:pPr>
            <w:r>
              <w:rPr>
                <w:rFonts w:cs="宋体" w:hint="eastAsia"/>
                <w:kern w:val="44"/>
              </w:rPr>
              <w:t>其它乙肝疫苗：由受种者</w:t>
            </w:r>
            <w:r>
              <w:rPr>
                <w:rFonts w:cs="宋体" w:hint="eastAsia"/>
                <w:b/>
                <w:bCs/>
                <w:kern w:val="44"/>
              </w:rPr>
              <w:t>自愿自费</w:t>
            </w:r>
            <w:r>
              <w:rPr>
                <w:rFonts w:cs="宋体" w:hint="eastAsia"/>
                <w:kern w:val="44"/>
              </w:rPr>
              <w:t>接种。</w:t>
            </w:r>
          </w:p>
        </w:tc>
        <w:tc>
          <w:tcPr>
            <w:tcW w:w="3881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自愿自费</w:t>
            </w:r>
          </w:p>
        </w:tc>
      </w:tr>
      <w:tr w:rsidR="00D575BD">
        <w:trPr>
          <w:trHeight w:val="874"/>
          <w:jc w:val="center"/>
        </w:trPr>
        <w:tc>
          <w:tcPr>
            <w:tcW w:w="1239" w:type="dxa"/>
            <w:vAlign w:val="center"/>
          </w:tcPr>
          <w:p w:rsidR="00D575BD" w:rsidRDefault="00D575BD" w:rsidP="00D928B5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接种禁忌</w:t>
            </w:r>
          </w:p>
        </w:tc>
        <w:tc>
          <w:tcPr>
            <w:tcW w:w="3971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对该疫苗所含任何成分过敏者。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患急性疾病、严重慢性疾病、慢性疾病的急性发作期和发热者。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3</w:t>
            </w:r>
            <w:r>
              <w:rPr>
                <w:rFonts w:cs="宋体" w:hint="eastAsia"/>
                <w:kern w:val="0"/>
              </w:rPr>
              <w:t>妊娠期妇女。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4.</w:t>
            </w:r>
            <w:r>
              <w:rPr>
                <w:rFonts w:cs="宋体" w:hint="eastAsia"/>
                <w:kern w:val="0"/>
              </w:rPr>
              <w:t>患未控制的癫痫和其他进行性神经系统疾病者。</w:t>
            </w:r>
          </w:p>
        </w:tc>
        <w:tc>
          <w:tcPr>
            <w:tcW w:w="3881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对该疫苗所含任何成分过敏者。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患急性疾病、严重慢性疾病、慢性疾病的急性发作期和发热者。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</w:rPr>
              <w:t>3</w:t>
            </w:r>
            <w:r>
              <w:rPr>
                <w:rFonts w:cs="宋体" w:hint="eastAsia"/>
                <w:kern w:val="0"/>
              </w:rPr>
              <w:t>妊娠期妇女</w:t>
            </w:r>
            <w:r>
              <w:rPr>
                <w:kern w:val="0"/>
              </w:rPr>
              <w:t>.</w:t>
            </w:r>
            <w:r>
              <w:rPr>
                <w:rFonts w:cs="宋体" w:hint="eastAsia"/>
                <w:kern w:val="0"/>
              </w:rPr>
              <w:t>。</w:t>
            </w:r>
          </w:p>
          <w:p w:rsidR="00D575BD" w:rsidRDefault="00D575BD" w:rsidP="00D928B5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4.</w:t>
            </w:r>
            <w:r>
              <w:rPr>
                <w:rFonts w:cs="宋体" w:hint="eastAsia"/>
                <w:kern w:val="0"/>
              </w:rPr>
              <w:t>患脑病、未控制的癫痫和其他进行性神经系统疾病者。</w:t>
            </w:r>
          </w:p>
        </w:tc>
      </w:tr>
      <w:tr w:rsidR="00D575BD">
        <w:trPr>
          <w:trHeight w:val="874"/>
          <w:jc w:val="center"/>
        </w:trPr>
        <w:tc>
          <w:tcPr>
            <w:tcW w:w="1239" w:type="dxa"/>
            <w:vAlign w:val="center"/>
          </w:tcPr>
          <w:p w:rsidR="00D575BD" w:rsidRDefault="00D575BD" w:rsidP="00D928B5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不良反应</w:t>
            </w:r>
          </w:p>
        </w:tc>
        <w:tc>
          <w:tcPr>
            <w:tcW w:w="3971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常见不良反应：疼痛、触痛。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罕见不良反应：一过性发热、局部红肿、硬结。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3.</w:t>
            </w:r>
            <w:r>
              <w:rPr>
                <w:rFonts w:cs="宋体" w:hint="eastAsia"/>
                <w:kern w:val="0"/>
              </w:rPr>
              <w:t>极罕见不良反应：局部无菌性化脓、过敏性皮疹、阿瑟反应、过敏性休克。</w:t>
            </w:r>
          </w:p>
        </w:tc>
        <w:tc>
          <w:tcPr>
            <w:tcW w:w="3881" w:type="dxa"/>
            <w:vAlign w:val="center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常见不良反应：疼痛、触痛。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罕见不良反应：一过性发热、局部红肿、硬结。</w:t>
            </w:r>
          </w:p>
          <w:p w:rsidR="00D575BD" w:rsidRDefault="00D575BD">
            <w:pPr>
              <w:widowControl/>
              <w:adjustRightInd w:val="0"/>
              <w:snapToGrid w:val="0"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3.</w:t>
            </w:r>
            <w:r>
              <w:rPr>
                <w:rFonts w:cs="宋体" w:hint="eastAsia"/>
                <w:kern w:val="0"/>
              </w:rPr>
              <w:t>极罕见不良反应：</w:t>
            </w:r>
            <w:r>
              <w:rPr>
                <w:rFonts w:cs="宋体" w:hint="eastAsia"/>
              </w:rPr>
              <w:t>局部无菌性化脓</w:t>
            </w:r>
            <w:r>
              <w:rPr>
                <w:rFonts w:cs="宋体" w:hint="eastAsia"/>
                <w:kern w:val="0"/>
              </w:rPr>
              <w:t>、过敏性皮疹、阿瑟反应、过敏性休克、过敏性紫癜。</w:t>
            </w:r>
          </w:p>
        </w:tc>
      </w:tr>
      <w:tr w:rsidR="00D575BD">
        <w:trPr>
          <w:trHeight w:val="389"/>
          <w:jc w:val="center"/>
        </w:trPr>
        <w:tc>
          <w:tcPr>
            <w:tcW w:w="1239" w:type="dxa"/>
            <w:vAlign w:val="center"/>
          </w:tcPr>
          <w:p w:rsidR="00D575BD" w:rsidRDefault="00D575BD" w:rsidP="00D928B5">
            <w:pPr>
              <w:widowControl/>
              <w:adjustRightInd w:val="0"/>
              <w:snapToGrid w:val="0"/>
              <w:spacing w:line="36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注意事项</w:t>
            </w:r>
          </w:p>
        </w:tc>
        <w:tc>
          <w:tcPr>
            <w:tcW w:w="3971" w:type="dxa"/>
            <w:vAlign w:val="center"/>
          </w:tcPr>
          <w:p w:rsidR="00D575BD" w:rsidRDefault="00D575BD" w:rsidP="003316E1">
            <w:pPr>
              <w:widowControl/>
              <w:adjustRightInd w:val="0"/>
              <w:snapToGrid w:val="0"/>
              <w:spacing w:line="36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家族和个人有惊厥史者、患慢性疾病者、有癫痫史者、过敏体质者慎用。</w:t>
            </w:r>
          </w:p>
          <w:p w:rsidR="00D575BD" w:rsidRDefault="00D575BD" w:rsidP="003316E1">
            <w:pPr>
              <w:widowControl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注射第一针后，出现高热、惊厥等异常情况者，一般不再注射第二针。对于母婴阻断的婴儿，如注射第</w:t>
            </w:r>
            <w:r>
              <w:rPr>
                <w:kern w:val="0"/>
              </w:rPr>
              <w:t>2</w:t>
            </w:r>
            <w:r>
              <w:rPr>
                <w:rFonts w:cs="宋体" w:hint="eastAsia"/>
                <w:kern w:val="0"/>
              </w:rPr>
              <w:t>、</w:t>
            </w:r>
            <w:r>
              <w:rPr>
                <w:kern w:val="0"/>
              </w:rPr>
              <w:t>3</w:t>
            </w:r>
            <w:r>
              <w:rPr>
                <w:rFonts w:cs="宋体" w:hint="eastAsia"/>
                <w:kern w:val="0"/>
              </w:rPr>
              <w:t>针应遵照医嘱。</w:t>
            </w:r>
          </w:p>
        </w:tc>
        <w:tc>
          <w:tcPr>
            <w:tcW w:w="3881" w:type="dxa"/>
          </w:tcPr>
          <w:p w:rsidR="00D575BD" w:rsidRDefault="00D575BD">
            <w:pPr>
              <w:widowControl/>
              <w:adjustRightInd w:val="0"/>
              <w:snapToGrid w:val="0"/>
              <w:spacing w:line="36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家族和个人有惊厥史者、患慢性疾病者、有癫痫史者、过敏体质者慎用。</w:t>
            </w:r>
          </w:p>
          <w:p w:rsidR="00D575BD" w:rsidRDefault="00D575BD">
            <w:pPr>
              <w:widowControl/>
              <w:spacing w:line="360" w:lineRule="exact"/>
              <w:jc w:val="lef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注射第一针后，出现高热、惊厥等异常情况者，不再注射第二针。</w:t>
            </w:r>
          </w:p>
        </w:tc>
      </w:tr>
    </w:tbl>
    <w:p w:rsidR="00D575BD" w:rsidRDefault="00D575BD" w:rsidP="00F74F6D">
      <w:pPr>
        <w:pStyle w:val="a3"/>
        <w:adjustRightInd w:val="0"/>
        <w:snapToGrid w:val="0"/>
        <w:spacing w:line="38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。有不明事项请咨询接种医生。因疫苗特性或受种者个体差异等因素，疫苗保护率并非</w:t>
      </w: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D575BD" w:rsidRPr="00916B1B" w:rsidRDefault="00916B1B" w:rsidP="00916B1B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D575BD" w:rsidRDefault="00D575BD" w:rsidP="00F74F6D">
      <w:pPr>
        <w:pStyle w:val="a3"/>
        <w:spacing w:line="38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575BD">
        <w:trPr>
          <w:trHeight w:val="1055"/>
        </w:trPr>
        <w:tc>
          <w:tcPr>
            <w:tcW w:w="9356" w:type="dxa"/>
            <w:vAlign w:val="center"/>
          </w:tcPr>
          <w:p w:rsidR="00D575BD" w:rsidRPr="00434EAD" w:rsidRDefault="00D575BD">
            <w:pPr>
              <w:pStyle w:val="a3"/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434EAD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选择接种：①</w:t>
            </w:r>
            <w:r w:rsidRPr="0001604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免费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乙肝疫苗</w:t>
            </w:r>
            <w:r w:rsidRPr="00434EA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；②</w:t>
            </w:r>
            <w:r w:rsidRPr="0001604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国产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10μg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乙肝疫苗</w:t>
            </w:r>
            <w:r w:rsidRPr="00434EA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；③</w:t>
            </w:r>
            <w:r w:rsidRPr="0001604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进口</w:t>
            </w:r>
            <w:r w:rsidRPr="00F74F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10μg</w:t>
            </w:r>
            <w:r w:rsidRPr="00F74F6D">
              <w:rPr>
                <w:rFonts w:ascii="Times New Roman" w:hAnsi="Times New Roman" w:hint="eastAsia"/>
                <w:kern w:val="2"/>
                <w:sz w:val="24"/>
                <w:szCs w:val="24"/>
              </w:rPr>
              <w:t>乙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肝疫苗</w:t>
            </w:r>
            <w:r w:rsidRPr="00434EA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；④</w:t>
            </w:r>
            <w:r w:rsidRPr="0001604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国产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20μg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乙肝疫苗</w:t>
            </w:r>
            <w:r w:rsidRPr="00434EA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；⑤</w:t>
            </w:r>
            <w:r w:rsidRPr="0001604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进口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20μg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乙肝疫苗</w:t>
            </w:r>
            <w:r w:rsidRPr="00434EA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；⑥</w:t>
            </w:r>
            <w:r w:rsidRPr="0001604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</w:t>
            </w:r>
            <w:r w:rsidRPr="00434EAD">
              <w:rPr>
                <w:rFonts w:ascii="Times New Roman" w:hAnsi="Times New Roman" w:cs="Times New Roman"/>
                <w:kern w:val="2"/>
              </w:rPr>
              <w:t>μg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乙肝疫苗</w:t>
            </w:r>
            <w:r w:rsidRPr="00434EA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；⑦</w:t>
            </w:r>
            <w:r w:rsidRPr="00016042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收费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甲乙肝联合疫苗</w:t>
            </w:r>
            <w:r w:rsidRPr="00434EA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（请在方框内打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“√”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）。</w:t>
            </w:r>
          </w:p>
          <w:p w:rsidR="00D575BD" w:rsidRPr="00434EAD" w:rsidRDefault="00D575BD">
            <w:pPr>
              <w:pStyle w:val="a3"/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监护人（签名）：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D575BD">
        <w:trPr>
          <w:trHeight w:val="507"/>
        </w:trPr>
        <w:tc>
          <w:tcPr>
            <w:tcW w:w="9356" w:type="dxa"/>
            <w:vAlign w:val="center"/>
          </w:tcPr>
          <w:p w:rsidR="00D575BD" w:rsidRPr="00434EAD" w:rsidRDefault="00D575BD" w:rsidP="00D928B5">
            <w:pPr>
              <w:pStyle w:val="a3"/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434EAD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监护人（签名）：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434EA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</w:t>
            </w:r>
            <w:r w:rsidRPr="00434EAD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D575BD" w:rsidRPr="00CA7CC0" w:rsidRDefault="00D575BD" w:rsidP="00951D2D">
      <w:pPr>
        <w:adjustRightInd w:val="0"/>
        <w:snapToGrid w:val="0"/>
        <w:spacing w:line="380" w:lineRule="exact"/>
        <w:ind w:firstLine="482"/>
        <w:jc w:val="right"/>
        <w:rPr>
          <w:sz w:val="24"/>
          <w:szCs w:val="24"/>
        </w:rPr>
      </w:pPr>
    </w:p>
    <w:p w:rsidR="00D575BD" w:rsidRPr="00D309E9" w:rsidRDefault="00D575BD" w:rsidP="00951D2D">
      <w:pPr>
        <w:adjustRightInd w:val="0"/>
        <w:snapToGrid w:val="0"/>
        <w:spacing w:line="380" w:lineRule="exact"/>
        <w:ind w:firstLine="48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D575BD" w:rsidRPr="00D309E9" w:rsidSect="00180133">
      <w:pgSz w:w="11906" w:h="16838"/>
      <w:pgMar w:top="1389" w:right="1797" w:bottom="13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15" w:rsidRDefault="00514515" w:rsidP="00FC725A">
      <w:r>
        <w:separator/>
      </w:r>
    </w:p>
  </w:endnote>
  <w:endnote w:type="continuationSeparator" w:id="0">
    <w:p w:rsidR="00514515" w:rsidRDefault="00514515" w:rsidP="00FC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15" w:rsidRDefault="00514515" w:rsidP="00FC725A">
      <w:r>
        <w:separator/>
      </w:r>
    </w:p>
  </w:footnote>
  <w:footnote w:type="continuationSeparator" w:id="0">
    <w:p w:rsidR="00514515" w:rsidRDefault="00514515" w:rsidP="00FC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59D"/>
    <w:rsid w:val="00016042"/>
    <w:rsid w:val="00030D3B"/>
    <w:rsid w:val="00030FEE"/>
    <w:rsid w:val="00042113"/>
    <w:rsid w:val="00063ADF"/>
    <w:rsid w:val="000654CE"/>
    <w:rsid w:val="00065E17"/>
    <w:rsid w:val="00095929"/>
    <w:rsid w:val="000A7063"/>
    <w:rsid w:val="000D3EEA"/>
    <w:rsid w:val="000E146F"/>
    <w:rsid w:val="000E4D68"/>
    <w:rsid w:val="001141A3"/>
    <w:rsid w:val="001240F5"/>
    <w:rsid w:val="00124500"/>
    <w:rsid w:val="0014547A"/>
    <w:rsid w:val="00173AED"/>
    <w:rsid w:val="00180133"/>
    <w:rsid w:val="001808E1"/>
    <w:rsid w:val="00185C04"/>
    <w:rsid w:val="00190DF1"/>
    <w:rsid w:val="001A6ECF"/>
    <w:rsid w:val="001A7196"/>
    <w:rsid w:val="001B5C34"/>
    <w:rsid w:val="001D0F67"/>
    <w:rsid w:val="001D7913"/>
    <w:rsid w:val="001E2629"/>
    <w:rsid w:val="001E2895"/>
    <w:rsid w:val="001F0AD7"/>
    <w:rsid w:val="001F0F7D"/>
    <w:rsid w:val="002136E0"/>
    <w:rsid w:val="002257B8"/>
    <w:rsid w:val="00251F0F"/>
    <w:rsid w:val="002A1612"/>
    <w:rsid w:val="002A5070"/>
    <w:rsid w:val="002A7CDD"/>
    <w:rsid w:val="002D7020"/>
    <w:rsid w:val="002E4ECF"/>
    <w:rsid w:val="002E6324"/>
    <w:rsid w:val="002F5444"/>
    <w:rsid w:val="003008F5"/>
    <w:rsid w:val="003316E1"/>
    <w:rsid w:val="00347792"/>
    <w:rsid w:val="003611CC"/>
    <w:rsid w:val="00365103"/>
    <w:rsid w:val="0036659D"/>
    <w:rsid w:val="00375DA5"/>
    <w:rsid w:val="003C0EC4"/>
    <w:rsid w:val="003C7EA7"/>
    <w:rsid w:val="003D2BFA"/>
    <w:rsid w:val="003F2BBC"/>
    <w:rsid w:val="003F2F20"/>
    <w:rsid w:val="00401096"/>
    <w:rsid w:val="00434EAD"/>
    <w:rsid w:val="00446746"/>
    <w:rsid w:val="00480664"/>
    <w:rsid w:val="00491D11"/>
    <w:rsid w:val="00497020"/>
    <w:rsid w:val="004974FB"/>
    <w:rsid w:val="004A625D"/>
    <w:rsid w:val="004B2EE6"/>
    <w:rsid w:val="004C23F9"/>
    <w:rsid w:val="004E199F"/>
    <w:rsid w:val="004E4327"/>
    <w:rsid w:val="004E6CC8"/>
    <w:rsid w:val="004F7CA5"/>
    <w:rsid w:val="00502114"/>
    <w:rsid w:val="00506FD6"/>
    <w:rsid w:val="0050750D"/>
    <w:rsid w:val="00514515"/>
    <w:rsid w:val="00525AEC"/>
    <w:rsid w:val="005416CC"/>
    <w:rsid w:val="005447AD"/>
    <w:rsid w:val="00565D72"/>
    <w:rsid w:val="00567702"/>
    <w:rsid w:val="005745E2"/>
    <w:rsid w:val="005770CC"/>
    <w:rsid w:val="00587132"/>
    <w:rsid w:val="00606366"/>
    <w:rsid w:val="00643EDB"/>
    <w:rsid w:val="00663A3E"/>
    <w:rsid w:val="00671130"/>
    <w:rsid w:val="00684D9F"/>
    <w:rsid w:val="00684DDF"/>
    <w:rsid w:val="006A0333"/>
    <w:rsid w:val="006A0DF4"/>
    <w:rsid w:val="006D7CD8"/>
    <w:rsid w:val="006E1F56"/>
    <w:rsid w:val="006F2AE7"/>
    <w:rsid w:val="006F54A1"/>
    <w:rsid w:val="006F5C98"/>
    <w:rsid w:val="0075155B"/>
    <w:rsid w:val="00751928"/>
    <w:rsid w:val="00766337"/>
    <w:rsid w:val="007831BD"/>
    <w:rsid w:val="007D3792"/>
    <w:rsid w:val="00813B93"/>
    <w:rsid w:val="0083022B"/>
    <w:rsid w:val="00871A8F"/>
    <w:rsid w:val="008B4165"/>
    <w:rsid w:val="00916B1B"/>
    <w:rsid w:val="00923811"/>
    <w:rsid w:val="00946AA2"/>
    <w:rsid w:val="00951D2D"/>
    <w:rsid w:val="00966253"/>
    <w:rsid w:val="009865D1"/>
    <w:rsid w:val="009C5CBD"/>
    <w:rsid w:val="009E0432"/>
    <w:rsid w:val="009F4263"/>
    <w:rsid w:val="009F4DC4"/>
    <w:rsid w:val="00A207DF"/>
    <w:rsid w:val="00A20824"/>
    <w:rsid w:val="00A54D69"/>
    <w:rsid w:val="00A620DB"/>
    <w:rsid w:val="00A67390"/>
    <w:rsid w:val="00A93086"/>
    <w:rsid w:val="00AA5FF7"/>
    <w:rsid w:val="00AC28E6"/>
    <w:rsid w:val="00AE5221"/>
    <w:rsid w:val="00B01002"/>
    <w:rsid w:val="00B07E87"/>
    <w:rsid w:val="00B17E2E"/>
    <w:rsid w:val="00B44B61"/>
    <w:rsid w:val="00B51ABD"/>
    <w:rsid w:val="00B55D5C"/>
    <w:rsid w:val="00B620B0"/>
    <w:rsid w:val="00B73D26"/>
    <w:rsid w:val="00B83A82"/>
    <w:rsid w:val="00B961FF"/>
    <w:rsid w:val="00BB75B4"/>
    <w:rsid w:val="00BC0621"/>
    <w:rsid w:val="00BD44BF"/>
    <w:rsid w:val="00BE2479"/>
    <w:rsid w:val="00BE4630"/>
    <w:rsid w:val="00BE580A"/>
    <w:rsid w:val="00BE5D51"/>
    <w:rsid w:val="00BE684F"/>
    <w:rsid w:val="00C036CB"/>
    <w:rsid w:val="00C05C60"/>
    <w:rsid w:val="00C345E5"/>
    <w:rsid w:val="00C45BEA"/>
    <w:rsid w:val="00C808F3"/>
    <w:rsid w:val="00C93FEF"/>
    <w:rsid w:val="00CA0A53"/>
    <w:rsid w:val="00CA5784"/>
    <w:rsid w:val="00CA7CC0"/>
    <w:rsid w:val="00CD5C0C"/>
    <w:rsid w:val="00CD6226"/>
    <w:rsid w:val="00D128E9"/>
    <w:rsid w:val="00D2164F"/>
    <w:rsid w:val="00D309E9"/>
    <w:rsid w:val="00D410B9"/>
    <w:rsid w:val="00D45141"/>
    <w:rsid w:val="00D575BD"/>
    <w:rsid w:val="00D84BCF"/>
    <w:rsid w:val="00D879DC"/>
    <w:rsid w:val="00D928B5"/>
    <w:rsid w:val="00DC4BDE"/>
    <w:rsid w:val="00E014D8"/>
    <w:rsid w:val="00E03C54"/>
    <w:rsid w:val="00E048C7"/>
    <w:rsid w:val="00E0768A"/>
    <w:rsid w:val="00E13289"/>
    <w:rsid w:val="00E35AB1"/>
    <w:rsid w:val="00E36D05"/>
    <w:rsid w:val="00E549A3"/>
    <w:rsid w:val="00E7105C"/>
    <w:rsid w:val="00E807AB"/>
    <w:rsid w:val="00E837A4"/>
    <w:rsid w:val="00E94468"/>
    <w:rsid w:val="00EE25B5"/>
    <w:rsid w:val="00EF3654"/>
    <w:rsid w:val="00F15110"/>
    <w:rsid w:val="00F2503C"/>
    <w:rsid w:val="00F31678"/>
    <w:rsid w:val="00F32167"/>
    <w:rsid w:val="00F345EA"/>
    <w:rsid w:val="00F43D03"/>
    <w:rsid w:val="00F47F2F"/>
    <w:rsid w:val="00F56D55"/>
    <w:rsid w:val="00F722AC"/>
    <w:rsid w:val="00F74F6D"/>
    <w:rsid w:val="00F76E4B"/>
    <w:rsid w:val="00F80E01"/>
    <w:rsid w:val="00FA07D3"/>
    <w:rsid w:val="00FB3FE1"/>
    <w:rsid w:val="00FC0F7F"/>
    <w:rsid w:val="00FC725A"/>
    <w:rsid w:val="00FD2210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9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36659D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36659D"/>
    <w:rPr>
      <w:rFonts w:ascii="宋体" w:hAnsi="Courier New" w:cs="宋体"/>
      <w:kern w:val="0"/>
    </w:rPr>
  </w:style>
  <w:style w:type="character" w:customStyle="1" w:styleId="Char">
    <w:name w:val="纯文本 Char"/>
    <w:link w:val="a3"/>
    <w:uiPriority w:val="99"/>
    <w:semiHidden/>
    <w:locked/>
    <w:rsid w:val="00A54D69"/>
    <w:rPr>
      <w:rFonts w:ascii="宋体" w:hAnsi="Courier New" w:cs="宋体"/>
      <w:sz w:val="21"/>
      <w:szCs w:val="21"/>
    </w:rPr>
  </w:style>
  <w:style w:type="character" w:customStyle="1" w:styleId="Char1">
    <w:name w:val="纯文本 Char1"/>
    <w:uiPriority w:val="99"/>
    <w:semiHidden/>
    <w:rsid w:val="0036659D"/>
    <w:rPr>
      <w:rFonts w:ascii="宋体" w:eastAsia="宋体" w:hAnsi="Courier New" w:cs="宋体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2E4ECF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2E4ECF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uiPriority w:val="99"/>
    <w:semiHidden/>
    <w:rsid w:val="00D928B5"/>
    <w:rPr>
      <w:sz w:val="21"/>
      <w:szCs w:val="21"/>
    </w:rPr>
  </w:style>
  <w:style w:type="paragraph" w:styleId="a6">
    <w:name w:val="annotation text"/>
    <w:basedOn w:val="a"/>
    <w:link w:val="Char2"/>
    <w:uiPriority w:val="99"/>
    <w:semiHidden/>
    <w:rsid w:val="00D928B5"/>
    <w:pPr>
      <w:jc w:val="left"/>
    </w:pPr>
  </w:style>
  <w:style w:type="character" w:customStyle="1" w:styleId="Char2">
    <w:name w:val="批注文字 Char"/>
    <w:link w:val="a6"/>
    <w:uiPriority w:val="99"/>
    <w:semiHidden/>
    <w:locked/>
    <w:rsid w:val="00D928B5"/>
    <w:rPr>
      <w:rFonts w:ascii="Times New Roman" w:eastAsia="宋体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3"/>
    <w:uiPriority w:val="99"/>
    <w:semiHidden/>
    <w:rsid w:val="00D928B5"/>
    <w:rPr>
      <w:b/>
      <w:bCs/>
    </w:rPr>
  </w:style>
  <w:style w:type="character" w:customStyle="1" w:styleId="Char3">
    <w:name w:val="批注主题 Char"/>
    <w:link w:val="a7"/>
    <w:uiPriority w:val="99"/>
    <w:semiHidden/>
    <w:locked/>
    <w:rsid w:val="00D928B5"/>
    <w:rPr>
      <w:rFonts w:ascii="Times New Roman" w:eastAsia="宋体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Char4"/>
    <w:uiPriority w:val="99"/>
    <w:semiHidden/>
    <w:rsid w:val="00FC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8"/>
    <w:uiPriority w:val="99"/>
    <w:semiHidden/>
    <w:locked/>
    <w:rsid w:val="00FC725A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iPriority w:val="99"/>
    <w:semiHidden/>
    <w:rsid w:val="00FC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9"/>
    <w:uiPriority w:val="99"/>
    <w:semiHidden/>
    <w:locked/>
    <w:rsid w:val="00FC725A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84D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山东省乙型病毒性肝炎疫苗</dc:title>
  <dc:subject/>
  <dc:creator>dell</dc:creator>
  <cp:keywords/>
  <dc:description/>
  <cp:lastModifiedBy>张伟燕</cp:lastModifiedBy>
  <cp:revision>5</cp:revision>
  <dcterms:created xsi:type="dcterms:W3CDTF">2017-09-16T07:48:00Z</dcterms:created>
  <dcterms:modified xsi:type="dcterms:W3CDTF">2020-06-03T01:45:00Z</dcterms:modified>
</cp:coreProperties>
</file>